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375B9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542DB31E" w:rsidR="00F92268" w:rsidRPr="00FF66BF" w:rsidRDefault="004A6D31" w:rsidP="00F375B9">
            <w:pPr>
              <w:pStyle w:val="RefTableData"/>
            </w:pPr>
            <w:r w:rsidRPr="004A6D31">
              <w:t>3151-A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2D14B9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720" w:gutter="0"/>
          <w:paperSrc w:first="15" w:other="15"/>
          <w:cols w:space="720"/>
          <w:titlePg/>
          <w:docGrid w:linePitch="299"/>
        </w:sectPr>
      </w:pPr>
    </w:p>
    <w:p w14:paraId="3F4DE49F" w14:textId="17647F66" w:rsidR="004B15BB" w:rsidRPr="00BD1CC1" w:rsidRDefault="004A6D31" w:rsidP="007E5C16">
      <w:pPr>
        <w:pStyle w:val="Heading1"/>
      </w:pPr>
      <w:r w:rsidRPr="004A6D31">
        <w:t>Specialty Guideline Management</w:t>
      </w:r>
      <w:r w:rsidR="008C54D9" w:rsidRPr="00BD1CC1">
        <w:br/>
      </w:r>
      <w:r w:rsidRPr="004A6D31">
        <w:t>T</w:t>
      </w:r>
      <w:r w:rsidR="00CC6BB3" w:rsidRPr="004A6D31">
        <w:t>uralio</w:t>
      </w:r>
    </w:p>
    <w:p w14:paraId="6DDC5FDA" w14:textId="05782647" w:rsidR="008137C4" w:rsidRDefault="00C64534" w:rsidP="004A6D31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3388AEEF" w14:textId="4E9DB175" w:rsidR="00DD14A7" w:rsidRPr="00086429" w:rsidRDefault="00DD14A7" w:rsidP="0033440E">
      <w:pPr>
        <w:pStyle w:val="BodyText"/>
      </w:pPr>
      <w:r w:rsidRPr="00086429">
        <w:t>Drugs that are listed in the following table include both brand and generic and all dosage forms and strengths unless otherwise stated. Over-the-counter (OTC)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F375B9" w:rsidRPr="00BD1CC1" w14:paraId="46228751" w14:textId="77777777" w:rsidTr="002D3301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6435028B" w14:textId="77777777" w:rsidR="00F375B9" w:rsidRPr="00BD1CC1" w:rsidRDefault="00F375B9" w:rsidP="002D3301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60AF74D9" w14:textId="77777777" w:rsidR="00F375B9" w:rsidRPr="00BD1CC1" w:rsidRDefault="00F375B9" w:rsidP="002D3301">
            <w:pPr>
              <w:pStyle w:val="TableHeader"/>
            </w:pPr>
            <w:r w:rsidRPr="00BD1CC1">
              <w:t>Generic Name</w:t>
            </w:r>
          </w:p>
        </w:tc>
      </w:tr>
      <w:tr w:rsidR="00F375B9" w:rsidRPr="00BD1CC1" w14:paraId="3B2F9588" w14:textId="77777777" w:rsidTr="002D3301">
        <w:trPr>
          <w:cantSplit/>
        </w:trPr>
        <w:tc>
          <w:tcPr>
            <w:tcW w:w="5265" w:type="dxa"/>
          </w:tcPr>
          <w:p w14:paraId="35AE0A24" w14:textId="719213CA" w:rsidR="00F375B9" w:rsidRPr="00BD1CC1" w:rsidRDefault="00F375B9" w:rsidP="002D3301">
            <w:pPr>
              <w:pStyle w:val="TableDataUnpadded"/>
            </w:pPr>
            <w:r w:rsidRPr="004A6D31">
              <w:t>Turalio</w:t>
            </w:r>
          </w:p>
        </w:tc>
        <w:tc>
          <w:tcPr>
            <w:tcW w:w="5595" w:type="dxa"/>
          </w:tcPr>
          <w:p w14:paraId="70C7C724" w14:textId="40886399" w:rsidR="00F375B9" w:rsidRPr="00BD1CC1" w:rsidRDefault="00F375B9" w:rsidP="002D3301">
            <w:pPr>
              <w:pStyle w:val="TableDataUnpadded"/>
            </w:pPr>
            <w:r w:rsidRPr="004A6D31">
              <w:t>pexidartinib</w:t>
            </w:r>
          </w:p>
        </w:tc>
      </w:tr>
    </w:tbl>
    <w:bookmarkEnd w:id="0"/>
    <w:p w14:paraId="14CE6108" w14:textId="35A45BCF" w:rsidR="00FC1AAD" w:rsidRPr="009E0400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0292E58E" w14:textId="05F907E7" w:rsidR="004A6D31" w:rsidRPr="004A6D31" w:rsidRDefault="004A6D31" w:rsidP="00F375B9">
      <w:pPr>
        <w:pStyle w:val="BodyText"/>
      </w:pPr>
      <w:r w:rsidRPr="004A6D31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756D7CFD" w:rsidR="00ED052F" w:rsidRPr="00BD1CC1" w:rsidRDefault="00ED052F" w:rsidP="00ED052F">
      <w:pPr>
        <w:pStyle w:val="Heading3"/>
        <w:keepNext w:val="0"/>
      </w:pPr>
      <w:r w:rsidRPr="00BD1CC1">
        <w:t>FDA-approved Indication</w:t>
      </w:r>
      <w:r w:rsidR="004A6D31" w:rsidRPr="00F375B9">
        <w:rPr>
          <w:vertAlign w:val="superscript"/>
        </w:rPr>
        <w:t>1</w:t>
      </w:r>
    </w:p>
    <w:p w14:paraId="3058A5F8" w14:textId="4D20EE12" w:rsidR="005C778C" w:rsidRPr="00255903" w:rsidRDefault="004A6D31" w:rsidP="00F375B9">
      <w:pPr>
        <w:pStyle w:val="BodyText"/>
      </w:pPr>
      <w:r w:rsidRPr="004A6D31">
        <w:t xml:space="preserve">Turalio is indicated for the </w:t>
      </w:r>
      <w:r w:rsidRPr="00F375B9">
        <w:t>treatment</w:t>
      </w:r>
      <w:r w:rsidRPr="004A6D31">
        <w:t xml:space="preserve"> of adult patients with symptomatic tenosynovial giant cell tumor (TGCT) associated with severe morbidity or functional limitations and not amenable to improvement with surgery</w:t>
      </w:r>
      <w:r>
        <w:t>.</w:t>
      </w:r>
    </w:p>
    <w:p w14:paraId="0B5EC236" w14:textId="0BBBEDFD" w:rsidR="0044763A" w:rsidRPr="00100B91" w:rsidRDefault="009F2EF1" w:rsidP="0044763A">
      <w:pPr>
        <w:pStyle w:val="Heading3"/>
      </w:pPr>
      <w:r>
        <w:t>Compendial Uses</w:t>
      </w:r>
      <w:r w:rsidR="004A6D31" w:rsidRPr="00F375B9">
        <w:rPr>
          <w:vertAlign w:val="superscript"/>
        </w:rPr>
        <w:t>2</w:t>
      </w:r>
    </w:p>
    <w:p w14:paraId="4E1BE44B" w14:textId="586C7AA1" w:rsidR="009A5649" w:rsidRPr="00BD1CC1" w:rsidRDefault="004A6D31" w:rsidP="00F375B9">
      <w:pPr>
        <w:pStyle w:val="ListParagraph"/>
        <w:numPr>
          <w:ilvl w:val="0"/>
          <w:numId w:val="33"/>
        </w:numPr>
        <w:ind w:left="720"/>
        <w:contextualSpacing w:val="0"/>
      </w:pPr>
      <w:r w:rsidRPr="004A6D31">
        <w:t>Pigmented villonodular synovitis (PVNS</w:t>
      </w:r>
      <w:r>
        <w:t>)</w:t>
      </w:r>
    </w:p>
    <w:p w14:paraId="1F11EA6A" w14:textId="54A95E02" w:rsidR="009A5649" w:rsidRDefault="007335D4" w:rsidP="00F375B9">
      <w:pPr>
        <w:pStyle w:val="ListParagraph"/>
        <w:numPr>
          <w:ilvl w:val="0"/>
          <w:numId w:val="33"/>
        </w:numPr>
        <w:ind w:left="720"/>
        <w:contextualSpacing w:val="0"/>
      </w:pPr>
      <w:r w:rsidRPr="007335D4">
        <w:t>Histiocytic Neoplasms:</w:t>
      </w:r>
    </w:p>
    <w:p w14:paraId="59C75C60" w14:textId="77777777" w:rsidR="007335D4" w:rsidRDefault="007335D4" w:rsidP="007335D4">
      <w:pPr>
        <w:pStyle w:val="ListParagraph"/>
        <w:numPr>
          <w:ilvl w:val="1"/>
          <w:numId w:val="29"/>
        </w:numPr>
        <w:contextualSpacing w:val="0"/>
      </w:pPr>
      <w:r>
        <w:t>Erdheim-Chester Disease (ECD)</w:t>
      </w:r>
    </w:p>
    <w:p w14:paraId="502FC290" w14:textId="77777777" w:rsidR="007335D4" w:rsidRDefault="007335D4" w:rsidP="007335D4">
      <w:pPr>
        <w:pStyle w:val="ListParagraph"/>
        <w:numPr>
          <w:ilvl w:val="1"/>
          <w:numId w:val="29"/>
        </w:numPr>
        <w:contextualSpacing w:val="0"/>
      </w:pPr>
      <w:r>
        <w:t>Langerhans Cell Histiocytosis (LCH)</w:t>
      </w:r>
    </w:p>
    <w:p w14:paraId="1F6BDE63" w14:textId="4FDE17A2" w:rsidR="007335D4" w:rsidRPr="007335D4" w:rsidRDefault="007335D4" w:rsidP="007335D4">
      <w:pPr>
        <w:pStyle w:val="ListParagraph"/>
        <w:numPr>
          <w:ilvl w:val="1"/>
          <w:numId w:val="29"/>
        </w:numPr>
        <w:contextualSpacing w:val="0"/>
      </w:pPr>
      <w:r>
        <w:t>Rosai-Dorfman Disease (RDD)</w:t>
      </w:r>
    </w:p>
    <w:p w14:paraId="0D5A9DD5" w14:textId="008865AC" w:rsidR="009A5649" w:rsidRPr="007B0E1C" w:rsidRDefault="009A5649" w:rsidP="00F375B9">
      <w:pPr>
        <w:pStyle w:val="BodyText"/>
      </w:pPr>
      <w:r w:rsidRPr="00BD1CC1">
        <w:t>All other indications are considered experimental/</w:t>
      </w:r>
      <w:r w:rsidRPr="00F375B9">
        <w:t>investigational</w:t>
      </w:r>
      <w:r w:rsidRPr="00BD1CC1">
        <w:t xml:space="preserve"> and </w:t>
      </w:r>
      <w:r w:rsidRPr="007B0E1C">
        <w:t>not medically necessary.</w:t>
      </w:r>
    </w:p>
    <w:p w14:paraId="36381B6D" w14:textId="0BB11D07" w:rsidR="000D2496" w:rsidRDefault="000D2496" w:rsidP="000D2496">
      <w:pPr>
        <w:pStyle w:val="Heading2"/>
      </w:pPr>
      <w:r w:rsidRPr="00BD1CC1">
        <w:lastRenderedPageBreak/>
        <w:t>Documentation</w:t>
      </w:r>
    </w:p>
    <w:p w14:paraId="283DC426" w14:textId="77777777" w:rsidR="009E0400" w:rsidRDefault="007335D4" w:rsidP="007335D4">
      <w:pPr>
        <w:pStyle w:val="BodyText"/>
      </w:pPr>
      <w:r w:rsidRPr="007335D4">
        <w:t>Submission of the following information is necessary to initiate the prior authorization review: Documentation of the presence of colony stimulating factor 1 receptor (CSF1R) mutation (where applicable)</w:t>
      </w:r>
      <w:r>
        <w:t>.</w:t>
      </w:r>
    </w:p>
    <w:p w14:paraId="50A38FBA" w14:textId="24B34919" w:rsidR="00FE0C63" w:rsidRDefault="00685107" w:rsidP="00E050E1">
      <w:pPr>
        <w:pStyle w:val="Heading2"/>
      </w:pPr>
      <w:r>
        <w:t>Coverage Criteria</w:t>
      </w:r>
    </w:p>
    <w:p w14:paraId="507106AB" w14:textId="2BEDB3EA" w:rsidR="005440D8" w:rsidRPr="007B0E1C" w:rsidRDefault="005440D8" w:rsidP="005440D8">
      <w:pPr>
        <w:pStyle w:val="Heading3"/>
        <w:rPr>
          <w:vertAlign w:val="superscript"/>
        </w:rPr>
      </w:pPr>
      <w:r w:rsidRPr="005440D8">
        <w:t>Pigmented Villonodular Synovitis/Tenosynovial Giant Cell Tumor (PVNS/TGCT)</w:t>
      </w:r>
      <w:r w:rsidRPr="007B0E1C">
        <w:rPr>
          <w:vertAlign w:val="superscript"/>
        </w:rPr>
        <w:t>1,2</w:t>
      </w:r>
    </w:p>
    <w:p w14:paraId="55F0468D" w14:textId="06F8F749" w:rsidR="005440D8" w:rsidRDefault="005440D8" w:rsidP="005440D8">
      <w:pPr>
        <w:pStyle w:val="BodyText"/>
      </w:pPr>
      <w:r w:rsidRPr="005440D8">
        <w:t>Authorization of 12 months may be granted for the treatment of pigmented villonodular synovitis (PVNS)/ tenosynovial giant cell tumor (TGCT) as a single agent.</w:t>
      </w:r>
    </w:p>
    <w:p w14:paraId="141E7498" w14:textId="757D06A0" w:rsidR="005440D8" w:rsidRDefault="005440D8" w:rsidP="005440D8">
      <w:pPr>
        <w:pStyle w:val="Heading3"/>
      </w:pPr>
      <w:r w:rsidRPr="005440D8">
        <w:t>Histiocytic Neoplasms</w:t>
      </w:r>
      <w:r w:rsidRPr="007B0E1C">
        <w:rPr>
          <w:vertAlign w:val="superscript"/>
        </w:rPr>
        <w:t>2</w:t>
      </w:r>
    </w:p>
    <w:p w14:paraId="342EC946" w14:textId="2A87AFAE" w:rsidR="005440D8" w:rsidRDefault="005440D8" w:rsidP="005440D8">
      <w:pPr>
        <w:pStyle w:val="BodyText"/>
      </w:pPr>
      <w:r w:rsidRPr="005440D8">
        <w:t>Authorization of 12 months may be granted for any of the following histiocytic neoplasm subtypes as a single agent in members with a CSF1R mutation:</w:t>
      </w:r>
    </w:p>
    <w:p w14:paraId="20A3CFFB" w14:textId="77777777" w:rsidR="009E0400" w:rsidRDefault="009E0400" w:rsidP="007B0E1C">
      <w:pPr>
        <w:pStyle w:val="ListParagraph"/>
        <w:numPr>
          <w:ilvl w:val="0"/>
          <w:numId w:val="32"/>
        </w:numPr>
        <w:contextualSpacing w:val="0"/>
      </w:pPr>
      <w:r>
        <w:t>Symptomatic or relapsed/refractory Erdheim-Chester Disease (ECD)</w:t>
      </w:r>
    </w:p>
    <w:p w14:paraId="476E9EDC" w14:textId="77777777" w:rsidR="009E0400" w:rsidRDefault="009E0400" w:rsidP="007B0E1C">
      <w:pPr>
        <w:pStyle w:val="ListParagraph"/>
        <w:numPr>
          <w:ilvl w:val="0"/>
          <w:numId w:val="32"/>
        </w:numPr>
        <w:contextualSpacing w:val="0"/>
      </w:pPr>
      <w:r>
        <w:t>Symptomatic or relapsed/refractory Rosai-Dorfman Disease (RDD)</w:t>
      </w:r>
    </w:p>
    <w:p w14:paraId="452FC9F1" w14:textId="79D12D1E" w:rsidR="005440D8" w:rsidRPr="009E0400" w:rsidRDefault="009E0400" w:rsidP="007B0E1C">
      <w:pPr>
        <w:pStyle w:val="ListParagraph"/>
        <w:numPr>
          <w:ilvl w:val="0"/>
          <w:numId w:val="32"/>
        </w:numPr>
        <w:contextualSpacing w:val="0"/>
      </w:pPr>
      <w:r>
        <w:t>Langerhans Cell Histiocytosis (LCH)</w:t>
      </w:r>
    </w:p>
    <w:p w14:paraId="3A643EC3" w14:textId="0D0801DD" w:rsidR="00A501AC" w:rsidRPr="00BD1CC1" w:rsidRDefault="00A501AC" w:rsidP="00A501AC">
      <w:pPr>
        <w:pStyle w:val="Heading2"/>
      </w:pPr>
      <w:r w:rsidRPr="00BD1CC1">
        <w:t>Continuation of Therapy</w:t>
      </w:r>
    </w:p>
    <w:p w14:paraId="32C8905D" w14:textId="5912D83C" w:rsidR="00A501AC" w:rsidRPr="003D46B0" w:rsidRDefault="00A501AC" w:rsidP="007B0E1C">
      <w:pPr>
        <w:pStyle w:val="BodyText"/>
      </w:pPr>
      <w:r w:rsidRPr="003D46B0">
        <w:t xml:space="preserve">Authorization </w:t>
      </w:r>
      <w:r w:rsidR="00DA351D" w:rsidRPr="00DA351D">
        <w:t xml:space="preserve">of 12 months may be granted for continued treatment in members requesting reauthorization for an indication listed in the coverage </w:t>
      </w:r>
      <w:r w:rsidR="00DA351D" w:rsidRPr="007B0E1C">
        <w:t>criteria</w:t>
      </w:r>
      <w:r w:rsidR="00DA351D" w:rsidRPr="00DA351D">
        <w:t xml:space="preserve"> section when there is no evidence of unacceptable toxicity or disease progression while on the current regimen</w:t>
      </w:r>
      <w:r w:rsidRPr="003D46B0">
        <w:t>.</w:t>
      </w:r>
    </w:p>
    <w:p w14:paraId="10DA4309" w14:textId="073C38D8" w:rsidR="00FF66BF" w:rsidRPr="008D1B34" w:rsidRDefault="00FF66BF" w:rsidP="00FF66BF">
      <w:pPr>
        <w:pStyle w:val="Heading2"/>
      </w:pPr>
      <w:r w:rsidRPr="008D1B34">
        <w:t>References</w:t>
      </w:r>
    </w:p>
    <w:p w14:paraId="67451780" w14:textId="14BAC049" w:rsidR="00DA351D" w:rsidRDefault="00DA351D" w:rsidP="00DA351D">
      <w:pPr>
        <w:pStyle w:val="ReferenceOrdered"/>
      </w:pPr>
      <w:r>
        <w:t xml:space="preserve">Turalio [package insert]. Basking Ridge, NJ: Daiichi Sankyo, Inc.; </w:t>
      </w:r>
      <w:r w:rsidR="00606CC1">
        <w:t>January</w:t>
      </w:r>
      <w:r>
        <w:t xml:space="preserve"> 202</w:t>
      </w:r>
      <w:r w:rsidR="00606CC1">
        <w:t>5</w:t>
      </w:r>
      <w:r>
        <w:t>.</w:t>
      </w:r>
    </w:p>
    <w:p w14:paraId="2CACAF02" w14:textId="7CFFE483" w:rsidR="007B0E1C" w:rsidRDefault="00DA351D" w:rsidP="00DA351D">
      <w:pPr>
        <w:pStyle w:val="ReferenceOrdered"/>
      </w:pPr>
      <w:r>
        <w:t>The NCCN Drugs &amp; Biologics Compendium® © 202</w:t>
      </w:r>
      <w:r w:rsidR="00606CC1">
        <w:t>5</w:t>
      </w:r>
      <w:r>
        <w:t xml:space="preserve"> National Comprehensive Cancer Network, Inc. http://www.nccn.org. Accessed March </w:t>
      </w:r>
      <w:r w:rsidR="00606CC1">
        <w:t>4</w:t>
      </w:r>
      <w:r>
        <w:t>, 202</w:t>
      </w:r>
      <w:r w:rsidR="00606CC1">
        <w:t>5</w:t>
      </w:r>
      <w:r w:rsidR="00FF66BF" w:rsidRPr="00BD1CC1">
        <w:t>.</w:t>
      </w:r>
    </w:p>
    <w:sectPr w:rsidR="007B0E1C" w:rsidSect="002D14B9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25636" w14:textId="77777777" w:rsidR="0081418B" w:rsidRDefault="0081418B">
      <w:r>
        <w:separator/>
      </w:r>
    </w:p>
  </w:endnote>
  <w:endnote w:type="continuationSeparator" w:id="0">
    <w:p w14:paraId="54F91C70" w14:textId="77777777" w:rsidR="0081418B" w:rsidRDefault="0081418B">
      <w:r>
        <w:continuationSeparator/>
      </w:r>
    </w:p>
  </w:endnote>
  <w:endnote w:type="continuationNotice" w:id="1">
    <w:p w14:paraId="61649501" w14:textId="77777777" w:rsidR="0081418B" w:rsidRDefault="008141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60B08162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2D3EE1" w:rsidRPr="002D3EE1">
      <w:rPr>
        <w:rFonts w:cs="Arial"/>
        <w:noProof/>
        <w:sz w:val="16"/>
        <w:szCs w:val="16"/>
      </w:rPr>
      <w:t>Turalio</w:t>
    </w:r>
    <w:r w:rsidR="002D3EE1">
      <w:rPr>
        <w:rFonts w:cs="Arial"/>
        <w:noProof/>
        <w:snapToGrid w:val="0"/>
        <w:color w:val="000000"/>
        <w:sz w:val="16"/>
        <w:szCs w:val="16"/>
      </w:rPr>
      <w:t xml:space="preserve"> SGM 3151-A</w:t>
    </w:r>
    <w:r w:rsidR="002D3EE1" w:rsidRPr="002D3EE1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606CC1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3638D087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2A736C83" w:rsidR="00F75C81" w:rsidRPr="00AA1E6A" w:rsidRDefault="00C36B72" w:rsidP="0033440E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607E8390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FC019E" w:rsidRPr="00FC019E">
      <w:rPr>
        <w:rFonts w:cs="Arial"/>
        <w:noProof/>
        <w:sz w:val="16"/>
        <w:szCs w:val="16"/>
      </w:rPr>
      <w:t>Turalio</w:t>
    </w:r>
    <w:r w:rsidR="00FC019E">
      <w:rPr>
        <w:rFonts w:cs="Arial"/>
        <w:noProof/>
        <w:snapToGrid w:val="0"/>
        <w:color w:val="000000"/>
        <w:sz w:val="16"/>
        <w:szCs w:val="16"/>
      </w:rPr>
      <w:t xml:space="preserve"> SGM 3151-A</w:t>
    </w:r>
    <w:r w:rsidR="00FC019E" w:rsidRPr="00FC019E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606CC1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2FA96417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5B5375A1" w:rsidR="00ED04EC" w:rsidRPr="00F50D98" w:rsidRDefault="00F50D98" w:rsidP="0033440E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58995" w14:textId="77777777" w:rsidR="0081418B" w:rsidRDefault="0081418B">
      <w:r>
        <w:separator/>
      </w:r>
    </w:p>
  </w:footnote>
  <w:footnote w:type="continuationSeparator" w:id="0">
    <w:p w14:paraId="38886D87" w14:textId="77777777" w:rsidR="0081418B" w:rsidRDefault="0081418B">
      <w:r>
        <w:continuationSeparator/>
      </w:r>
    </w:p>
  </w:footnote>
  <w:footnote w:type="continuationNotice" w:id="1">
    <w:p w14:paraId="4A7FEE47" w14:textId="77777777" w:rsidR="0081418B" w:rsidRDefault="0081418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7B0E1C">
          <w:pPr>
            <w:pStyle w:val="RefTableData"/>
          </w:pPr>
          <w:r w:rsidRPr="00AA1E6A"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37288309" w:rsidR="00ED04EC" w:rsidRPr="007B0E1C" w:rsidRDefault="004A6D31" w:rsidP="007B0E1C">
          <w:pPr>
            <w:pStyle w:val="RefTableData"/>
            <w:rPr>
              <w:color w:val="000000" w:themeColor="text1"/>
            </w:rPr>
          </w:pPr>
          <w:r w:rsidRPr="007B0E1C">
            <w:rPr>
              <w:color w:val="000000" w:themeColor="text1"/>
            </w:rPr>
            <w:t>3151-A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77777777" w:rsidR="000F5383" w:rsidRPr="00FF66BF" w:rsidRDefault="000F5383" w:rsidP="009E1F57">
          <w:pPr>
            <w:pStyle w:val="RefTableHeader"/>
          </w:pP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330E9"/>
    <w:multiLevelType w:val="hybridMultilevel"/>
    <w:tmpl w:val="1B8E8E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082E66"/>
    <w:multiLevelType w:val="hybridMultilevel"/>
    <w:tmpl w:val="76B69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913E0B"/>
    <w:multiLevelType w:val="hybridMultilevel"/>
    <w:tmpl w:val="4D540C34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EC0079"/>
    <w:multiLevelType w:val="hybridMultilevel"/>
    <w:tmpl w:val="B90EF2D0"/>
    <w:lvl w:ilvl="0" w:tplc="33B4F5D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5B383E"/>
    <w:multiLevelType w:val="hybridMultilevel"/>
    <w:tmpl w:val="CD40B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6"/>
  </w:num>
  <w:num w:numId="3" w16cid:durableId="611589570">
    <w:abstractNumId w:val="21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7"/>
  </w:num>
  <w:num w:numId="17" w16cid:durableId="2128498676">
    <w:abstractNumId w:val="29"/>
  </w:num>
  <w:num w:numId="18" w16cid:durableId="299724409">
    <w:abstractNumId w:val="23"/>
  </w:num>
  <w:num w:numId="19" w16cid:durableId="214585573">
    <w:abstractNumId w:val="13"/>
  </w:num>
  <w:num w:numId="20" w16cid:durableId="1289816170">
    <w:abstractNumId w:val="14"/>
  </w:num>
  <w:num w:numId="21" w16cid:durableId="1066490929">
    <w:abstractNumId w:val="30"/>
  </w:num>
  <w:num w:numId="22" w16cid:durableId="1472481103">
    <w:abstractNumId w:val="25"/>
  </w:num>
  <w:num w:numId="23" w16cid:durableId="1997420403">
    <w:abstractNumId w:val="27"/>
  </w:num>
  <w:num w:numId="24" w16cid:durableId="33312838">
    <w:abstractNumId w:val="24"/>
  </w:num>
  <w:num w:numId="25" w16cid:durableId="507404939">
    <w:abstractNumId w:val="15"/>
  </w:num>
  <w:num w:numId="26" w16cid:durableId="1950313333">
    <w:abstractNumId w:val="20"/>
  </w:num>
  <w:num w:numId="27" w16cid:durableId="1866016584">
    <w:abstractNumId w:val="18"/>
  </w:num>
  <w:num w:numId="28" w16cid:durableId="789781393">
    <w:abstractNumId w:val="16"/>
  </w:num>
  <w:num w:numId="29" w16cid:durableId="1681852807">
    <w:abstractNumId w:val="22"/>
  </w:num>
  <w:num w:numId="30" w16cid:durableId="626395037">
    <w:abstractNumId w:val="19"/>
  </w:num>
  <w:num w:numId="31" w16cid:durableId="765342917">
    <w:abstractNumId w:val="30"/>
  </w:num>
  <w:num w:numId="32" w16cid:durableId="428891568">
    <w:abstractNumId w:val="31"/>
  </w:num>
  <w:num w:numId="33" w16cid:durableId="44186666">
    <w:abstractNumId w:val="2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429"/>
    <w:rsid w:val="00086953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304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C7F4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553A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B9"/>
    <w:rsid w:val="002D14E1"/>
    <w:rsid w:val="002D1E70"/>
    <w:rsid w:val="002D27EE"/>
    <w:rsid w:val="002D2C61"/>
    <w:rsid w:val="002D35B0"/>
    <w:rsid w:val="002D3EE1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440E"/>
    <w:rsid w:val="003344E6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C7D01"/>
    <w:rsid w:val="003D0769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D755E"/>
    <w:rsid w:val="003E1C0F"/>
    <w:rsid w:val="003E28D8"/>
    <w:rsid w:val="003E3201"/>
    <w:rsid w:val="003E3F3B"/>
    <w:rsid w:val="003E4C87"/>
    <w:rsid w:val="003E54DE"/>
    <w:rsid w:val="003E5668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6D31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B7AF2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5DAE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066F4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0D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CC1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5BE4"/>
    <w:rsid w:val="00666579"/>
    <w:rsid w:val="00666A21"/>
    <w:rsid w:val="00666FFD"/>
    <w:rsid w:val="00667755"/>
    <w:rsid w:val="00667944"/>
    <w:rsid w:val="00670149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76DC9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5D4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0E1C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18B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27628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4D6B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1F5E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1C13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143E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0400"/>
    <w:rsid w:val="009E1F57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5CE"/>
    <w:rsid w:val="00AA5FEE"/>
    <w:rsid w:val="00AA6624"/>
    <w:rsid w:val="00AA6E94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2A9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4C78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BB3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51D"/>
    <w:rsid w:val="00DA3D4A"/>
    <w:rsid w:val="00DA420D"/>
    <w:rsid w:val="00DA52B5"/>
    <w:rsid w:val="00DA5F0A"/>
    <w:rsid w:val="00DA640C"/>
    <w:rsid w:val="00DA6BAC"/>
    <w:rsid w:val="00DA7269"/>
    <w:rsid w:val="00DB0090"/>
    <w:rsid w:val="00DB05DC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4A7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36A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6B30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2F33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5B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785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5E08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19E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22555A-F937-49DA-ACB9-9C91F4FABF3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Turalio SGM 3151-A</vt:lpstr>
    </vt:vector>
  </TitlesOfParts>
  <Company>CVS Caremark</Company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Turalio SGM 3151-A</dc:title>
  <dc:subject>Turalio SGM 3151-A</dc:subject>
  <dc:creator>CVS Caremark</dc:creator>
  <cp:keywords/>
  <cp:lastModifiedBy>Reynoso, Victor H</cp:lastModifiedBy>
  <cp:revision>4</cp:revision>
  <cp:lastPrinted>2018-01-09T05:01:00Z</cp:lastPrinted>
  <dcterms:created xsi:type="dcterms:W3CDTF">2025-07-02T19:42:00Z</dcterms:created>
  <dcterms:modified xsi:type="dcterms:W3CDTF">2025-07-02T19:44:00Z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852800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